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5F7FF98A" w:rsidR="00F422D3" w:rsidRDefault="00F422D3" w:rsidP="00B42F40">
      <w:pPr>
        <w:pStyle w:val="Titul2"/>
      </w:pPr>
      <w:r>
        <w:t>Název zakázky: „</w:t>
      </w:r>
      <w:r w:rsidR="00CF186D" w:rsidRPr="00CF186D">
        <w:t>Rekonstrukce zastávky Lipová Lázně zastávka</w:t>
      </w:r>
      <w:r>
        <w:t>“</w:t>
      </w:r>
      <w:r w:rsidR="000D5058">
        <w:t>-BOZP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4A70C829" w:rsidR="00F91101" w:rsidRPr="005C7EED" w:rsidRDefault="000A7CED" w:rsidP="00F91101">
      <w:pPr>
        <w:spacing w:after="120"/>
        <w:ind w:left="567"/>
        <w:jc w:val="both"/>
        <w:rPr>
          <w:rFonts w:ascii="Verdana" w:hAnsi="Verdana" w:cs="Calibri"/>
        </w:rPr>
      </w:pPr>
      <w:r w:rsidRPr="000A7CED">
        <w:t>Mgr. Radka Szabó</w:t>
      </w:r>
      <w:r w:rsidR="00F91101" w:rsidRPr="005C7EED">
        <w:rPr>
          <w:rFonts w:ascii="Verdana" w:hAnsi="Verdana" w:cs="Calibri"/>
        </w:rPr>
        <w:t xml:space="preserve">, tel.: </w:t>
      </w:r>
      <w:r w:rsidRPr="000A7CED">
        <w:t>+420 724 932 396</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11A0BB7D" w:rsidR="00F91101" w:rsidRPr="005C7EED" w:rsidRDefault="000A7CED" w:rsidP="00F91101">
      <w:pPr>
        <w:spacing w:after="120"/>
        <w:ind w:left="567"/>
        <w:jc w:val="both"/>
        <w:rPr>
          <w:rFonts w:ascii="Verdana" w:hAnsi="Verdana" w:cs="Calibri"/>
        </w:rPr>
      </w:pPr>
      <w:r w:rsidRPr="000A7CED">
        <w:t>Ing. Otakar Srovnal</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0A7CED">
        <w:t>+420 724 590 159</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6D9B08DD" w:rsidR="00F422D3" w:rsidRDefault="00F422D3" w:rsidP="00B42F40">
      <w:pPr>
        <w:pStyle w:val="Textbezodsazen"/>
      </w:pPr>
      <w:r>
        <w:t>ISPROFOND</w:t>
      </w:r>
      <w:r w:rsidR="000A7CED">
        <w:t>/ISPROFIN</w:t>
      </w:r>
      <w:r>
        <w:t xml:space="preserve">: </w:t>
      </w:r>
      <w:r w:rsidR="000A7CED">
        <w:t>5003520140/5713520084</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39D86731"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CF186D" w:rsidRPr="00A82B57">
        <w:rPr>
          <w:rFonts w:eastAsia="Times New Roman" w:cs="Arial"/>
          <w:b/>
          <w:lang w:eastAsia="cs-CZ"/>
        </w:rPr>
        <w:t>Rekonstrukce zastávky Lipová Lázně zastávka</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17C67AFF" w:rsidR="00F91101" w:rsidRPr="005C7EED" w:rsidRDefault="00F91101" w:rsidP="00F7247A">
      <w:pPr>
        <w:pStyle w:val="Text1-2"/>
        <w:numPr>
          <w:ilvl w:val="2"/>
          <w:numId w:val="8"/>
        </w:numPr>
        <w:tabs>
          <w:tab w:val="clear" w:pos="1474"/>
        </w:tabs>
        <w:ind w:left="737"/>
      </w:pPr>
      <w:r w:rsidRPr="005C7EED">
        <w:t xml:space="preserve">Ukončení výkonu činnosti: do </w:t>
      </w:r>
      <w:r w:rsidR="00CF186D">
        <w:rPr>
          <w:rFonts w:cs="Arial"/>
        </w:rPr>
        <w:t>7</w:t>
      </w:r>
      <w:r w:rsidR="00C8011B">
        <w:rPr>
          <w:rFonts w:cs="Arial"/>
        </w:rPr>
        <w:t xml:space="preserve"> 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 xml:space="preserve">Miroslav </w:t>
      </w:r>
      <w:proofErr w:type="spellStart"/>
      <w:r w:rsidR="00FD08AA">
        <w:t>Bocák</w:t>
      </w:r>
      <w:proofErr w:type="spellEnd"/>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6B083FF1"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7CED">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84E2A"/>
    <w:rsid w:val="00095319"/>
    <w:rsid w:val="000A7CED"/>
    <w:rsid w:val="000B4EB8"/>
    <w:rsid w:val="000B58CF"/>
    <w:rsid w:val="000B770D"/>
    <w:rsid w:val="000C41F2"/>
    <w:rsid w:val="000C43DE"/>
    <w:rsid w:val="000D22C4"/>
    <w:rsid w:val="000D27D1"/>
    <w:rsid w:val="000D5058"/>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3E5A"/>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956FE"/>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8011B"/>
    <w:rsid w:val="00C95162"/>
    <w:rsid w:val="00CB49AA"/>
    <w:rsid w:val="00CB4F6D"/>
    <w:rsid w:val="00CB6A37"/>
    <w:rsid w:val="00CB7684"/>
    <w:rsid w:val="00CC4EA8"/>
    <w:rsid w:val="00CC6517"/>
    <w:rsid w:val="00CC7C8F"/>
    <w:rsid w:val="00CD1FC4"/>
    <w:rsid w:val="00CD2A8E"/>
    <w:rsid w:val="00CF186D"/>
    <w:rsid w:val="00D034A0"/>
    <w:rsid w:val="00D21061"/>
    <w:rsid w:val="00D4108E"/>
    <w:rsid w:val="00D4328E"/>
    <w:rsid w:val="00D54AD0"/>
    <w:rsid w:val="00D6163D"/>
    <w:rsid w:val="00D74633"/>
    <w:rsid w:val="00D756F2"/>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36</TotalTime>
  <Pages>17</Pages>
  <Words>6803</Words>
  <Characters>40139</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2019-03-12T14:16:00Z</cp:lastPrinted>
  <dcterms:created xsi:type="dcterms:W3CDTF">2024-02-07T14:37:00Z</dcterms:created>
  <dcterms:modified xsi:type="dcterms:W3CDTF">2024-05-13T07:42:00Z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